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clear" w:pos="709"/>
          <w:tab w:val="left" w:pos="7020" w:leader="none"/>
        </w:tabs>
        <w:jc w:val="right"/>
        <w:rPr>
          <w:sz w:val="22"/>
          <w:szCs w:val="22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sz w:val="22"/>
          <w:szCs w:val="22"/>
        </w:rPr>
        <w:t>Приложение № 5</w:t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  <w:t>к Постановлению  местной Администрации</w:t>
      </w:r>
    </w:p>
    <w:p>
      <w:pPr>
        <w:pStyle w:val="Normal"/>
        <w:jc w:val="right"/>
        <w:rPr>
          <w:b/>
          <w:b/>
          <w:sz w:val="22"/>
          <w:szCs w:val="22"/>
          <w:u w:val="single"/>
        </w:rPr>
      </w:pPr>
      <w:r>
        <w:rPr>
          <w:sz w:val="22"/>
          <w:szCs w:val="22"/>
        </w:rPr>
        <w:tab/>
        <w:tab/>
        <w:tab/>
        <w:tab/>
        <w:tab/>
        <w:t>МО Сампсониевское от 11.08.2020 №35</w:t>
      </w:r>
    </w:p>
    <w:p>
      <w:pPr>
        <w:pStyle w:val="Normal"/>
        <w:jc w:val="right"/>
        <w:rPr>
          <w:b/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Муниципальная программа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поддержки малого предпринимательства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в муниципальном образовании муниципальный округ Сампсониевское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  <w:t>на 2020 год</w:t>
      </w:r>
    </w:p>
    <w:p>
      <w:pPr>
        <w:pStyle w:val="Normal"/>
        <w:jc w:val="center"/>
        <w:rPr>
          <w:b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ПАСПОРТ</w:t>
      </w:r>
    </w:p>
    <w:tbl>
      <w:tblPr>
        <w:tblW w:w="9571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989"/>
        <w:gridCol w:w="6581"/>
      </w:tblGrid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поддержки малого предпринимательства в Муниципальном образовании муниципальный округ Сампсониевское на 2020год (далее – Программа) 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Основание для разработки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hd w:val="clear" w:color="auto" w:fill="FFFFFF"/>
              <w:ind w:right="136" w:hanging="11"/>
              <w:jc w:val="both"/>
              <w:rPr>
                <w:rFonts w:eastAsia="Calibr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pacing w:val="2"/>
                <w:sz w:val="22"/>
                <w:szCs w:val="22"/>
                <w:lang w:eastAsia="en-US"/>
              </w:rPr>
              <w:t xml:space="preserve">Федеральный закон от 06.10.2003г. №131-Ф3 «Об общих </w:t>
            </w:r>
            <w:r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  <w:t xml:space="preserve">принципах организации местного самоуправления в Российской </w:t>
            </w:r>
            <w:r>
              <w:rPr>
                <w:rFonts w:eastAsia="Calibri"/>
                <w:color w:val="000000"/>
                <w:sz w:val="22"/>
                <w:szCs w:val="22"/>
                <w:lang w:eastAsia="en-US"/>
              </w:rPr>
              <w:t>Федерации»;</w:t>
            </w:r>
          </w:p>
          <w:p>
            <w:pPr>
              <w:pStyle w:val="Normal"/>
              <w:shd w:val="clear" w:color="auto" w:fill="FFFFFF"/>
              <w:ind w:right="136" w:hanging="11"/>
              <w:jc w:val="both"/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</w:pPr>
            <w:r>
              <w:rPr>
                <w:rFonts w:eastAsia="Calibri"/>
                <w:color w:val="000000"/>
                <w:spacing w:val="2"/>
                <w:sz w:val="22"/>
                <w:szCs w:val="22"/>
                <w:lang w:eastAsia="en-US"/>
              </w:rPr>
              <w:t xml:space="preserve">Закон Санкт-Петербурга от 23.09.2009 № 420-79 «Об </w:t>
            </w:r>
            <w:r>
              <w:rPr>
                <w:rFonts w:eastAsia="Calibri"/>
                <w:color w:val="000000"/>
                <w:spacing w:val="1"/>
                <w:sz w:val="22"/>
                <w:szCs w:val="22"/>
                <w:lang w:eastAsia="en-US"/>
              </w:rPr>
              <w:t>организации местного самоуправления в Санкт-Петербурге»;</w:t>
            </w:r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Федеральный закон от 24 июля 2007 г. № 209-ФЗ «О развитии малого и среднего предпринимательства в Российской Федерации»;</w:t>
            </w:r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Закон Санкт-Петербурга от 17 апреля 2008 г. № 194-32 «О развитии малого и среднего предпринимательства в Санкт-Петербурге»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Заказчик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местная Администрация муниципального образования муниципальный округ Сампсониевское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Разработчик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местная Администрации муниципального образования муниципальный округ Сампсониевское 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Цель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совершенствование правовых и экономических условий для развития малого предпринимательства на территории муниципального образования муниципальный округ Сампсониевское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Задачи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1) развитие субъектов малого предпринимательства в целях формирования конкурентной среды в экономике Российской Федерации;</w:t>
            </w:r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bookmarkStart w:id="0" w:name="sub_622"/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2) обеспечение благоприятных условий для развития субъектов малого предпринимательства;</w:t>
            </w:r>
            <w:bookmarkEnd w:id="0"/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bookmarkStart w:id="1" w:name="sub_623"/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3) обеспечение конкурентоспособности субъектов малого предпринимательства;</w:t>
            </w:r>
            <w:bookmarkEnd w:id="1"/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bookmarkStart w:id="2" w:name="sub_624"/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 xml:space="preserve">4) оказание содействия субъектам малого предпринимательства в продвижении производимых ими товаров (работ, услуг), результатов интеллектуальной деятельности на рынок Российской Федерации; </w:t>
            </w:r>
            <w:bookmarkStart w:id="3" w:name="sub_625"/>
            <w:bookmarkEnd w:id="2"/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5) увеличение количества субъектов малого предпринимательства;</w:t>
            </w:r>
            <w:bookmarkEnd w:id="3"/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bookmarkStart w:id="4" w:name="sub_626"/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6) обеспечение занятости населения и развитие самозанятости;</w:t>
            </w:r>
            <w:bookmarkEnd w:id="4"/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bookmarkStart w:id="5" w:name="sub_627"/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7) увеличение доли производимых субъектами малого предпринимательства товаров (работ, услуг) в объеме валового внутреннего продукта;</w:t>
            </w:r>
            <w:bookmarkEnd w:id="5"/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bookmarkStart w:id="6" w:name="sub_628"/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eastAsia="en-US"/>
              </w:rPr>
              <w:t>8) увеличение доли уплаченных субъектами малого предпринимательства налогов в налоговых доходах федерального бюджета, бюджетов субъектов Российской Федерации и местных бюджетов.</w:t>
            </w:r>
            <w:bookmarkEnd w:id="6"/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Срок реализации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2020 год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Объем и источники финансирования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объем финансирования Программы в 2020    году – 30,0 тыс. рублей, в том числе:</w:t>
            </w:r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 муниципального образования муниципальный округ Сампсониевское – 30,0 тыс. рублей,</w:t>
            </w:r>
          </w:p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внебюджетные источники – 0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Основные участники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местная Администрация муниципального образования муниципальный округ Сампсониевское</w:t>
            </w:r>
          </w:p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субъекты малого предпринимательства округа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Контроль за исполнением Программы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Глава местной Администрации Муниципального образования муниципальный округ Сампсониевское </w:t>
            </w:r>
          </w:p>
        </w:tc>
      </w:tr>
      <w:tr>
        <w:trPr>
          <w:trHeight w:val="20" w:hRule="atLeast"/>
        </w:trPr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целевой статьи БК</w:t>
            </w:r>
          </w:p>
        </w:tc>
        <w:tc>
          <w:tcPr>
            <w:tcW w:w="6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3450000100</w:t>
            </w:r>
          </w:p>
        </w:tc>
      </w:tr>
    </w:tbl>
    <w:p>
      <w:pPr>
        <w:pStyle w:val="Normal"/>
        <w:tabs>
          <w:tab w:val="clear" w:pos="709"/>
          <w:tab w:val="left" w:pos="2565" w:leader="none"/>
          <w:tab w:val="left" w:pos="2610" w:leader="none"/>
        </w:tabs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tabs>
          <w:tab w:val="clear" w:pos="709"/>
          <w:tab w:val="left" w:pos="2565" w:leader="none"/>
          <w:tab w:val="left" w:pos="2610" w:leader="none"/>
        </w:tabs>
        <w:jc w:val="center"/>
        <w:rPr>
          <w:sz w:val="22"/>
          <w:szCs w:val="22"/>
        </w:rPr>
      </w:pPr>
      <w:r>
        <w:rPr>
          <w:sz w:val="22"/>
          <w:szCs w:val="22"/>
        </w:rPr>
        <w:t>СОДЕРЖАНИЕ ПРОБЛЕМЫ И НЕОБХОДИМОСТЬ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ЕЕ РЕШЕНИЯ ПРОГРАММНЫМИ МЕТОДАМИ 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Стабильное развитие экономики округа, насыщение рынка товарами и услугами, обеспечение занятости населения, создание социально-экономических условий, обеспечивающих самодостаточность местного бюджета, невозможно без эффективного использования потенциала малого бизнеса.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В настоящее время уровень развития малого предпринимательства в округе существенно возрос. На территории округа осуществляют хозяйственную деятельность в этой сфере экономики более 115 малых предприятий и 60 предпринимателей без образования юридического лица. Всего в малом бизнесе занято 1,5 тыс. человек.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Малое предпринимательство формирует на территории округа до 60 процентов оборота розничной торговли, общественного питания, бытового обслуживания населения.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Экономика округа объективно нуждается в дальнейшем развитии малого предпринимательства. Сектор малого бизнеса охватывает практически все отрасли экономики и оказывает значительное влияние на решение социально-экономических проблем округа, в связи с этим необходимо стимулировать развитие малого предпринимательства.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Одним из инструментов реализации муниципальной политики в сфере развития малого предпринимательства на территории муниципального образования должна стать Программа поддержки малого предпринимательства в муниципальном образовании муниципальный округ Сампсониевское на 2020 год.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Программа представляет собой комплексный план действий по оказанию поддержки субъектам малого предпринимательства, с учетом имеющегося в округе опыта.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200" w:leader="none"/>
        </w:tabs>
        <w:ind w:left="0" w:hanging="357"/>
        <w:jc w:val="center"/>
        <w:rPr>
          <w:sz w:val="22"/>
          <w:szCs w:val="22"/>
        </w:rPr>
      </w:pPr>
      <w:r>
        <w:rPr>
          <w:sz w:val="22"/>
          <w:szCs w:val="22"/>
        </w:rPr>
        <w:t>ОСНОВНЫЕ ЦЕЛИ И ЗАДАЧИ ПРОГРАММЫ</w:t>
      </w:r>
    </w:p>
    <w:p>
      <w:pPr>
        <w:pStyle w:val="Normal"/>
        <w:tabs>
          <w:tab w:val="clear" w:pos="709"/>
          <w:tab w:val="left" w:pos="120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Основной целью Программы является совершенствование правовых и экономических условий дальнейшего развития малого предпринимательства, обеспечивающих: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повышение социальной эффективности деятельности субъектов малого предпринимательства (увеличение численности занятых в сфере малого предпринимательства за счет создания дополнительных рабочих мест, рост средних доходов и повышение уровня социальной защищенности работников малых предприятий);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рост темпов развития малого предпринимательства как одного из стратегических факторов социально-экономического развития муниципального образования;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увеличение доли участия субъектов малого предпринимательства в формировании всех составляющих экономики (производство товаров, оказание услуг, поступление налогов);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расширение сферы деятельности субъектов малого предпринимательства.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Для достижения поставленной цели предусматривается решение следующих задач:</w:t>
      </w:r>
    </w:p>
    <w:p>
      <w:pPr>
        <w:pStyle w:val="Normal"/>
        <w:numPr>
          <w:ilvl w:val="0"/>
          <w:numId w:val="2"/>
        </w:numPr>
        <w:ind w:left="0" w:hanging="360"/>
        <w:jc w:val="both"/>
        <w:rPr>
          <w:sz w:val="22"/>
          <w:szCs w:val="22"/>
        </w:rPr>
      </w:pPr>
      <w:r>
        <w:rPr>
          <w:sz w:val="22"/>
          <w:szCs w:val="22"/>
        </w:rPr>
        <w:t>совершенствование внешней среды для развития малого предпринимательства;</w:t>
      </w:r>
    </w:p>
    <w:p>
      <w:pPr>
        <w:pStyle w:val="Normal"/>
        <w:numPr>
          <w:ilvl w:val="0"/>
          <w:numId w:val="2"/>
        </w:numPr>
        <w:ind w:left="0" w:hanging="360"/>
        <w:jc w:val="both"/>
        <w:rPr>
          <w:sz w:val="22"/>
          <w:szCs w:val="22"/>
        </w:rPr>
      </w:pPr>
      <w:r>
        <w:rPr>
          <w:sz w:val="22"/>
          <w:szCs w:val="22"/>
        </w:rPr>
        <w:t>развитие кредитно-финансовых механизмов поддержки субъектов малого предпринимательства;</w:t>
      </w:r>
    </w:p>
    <w:p>
      <w:pPr>
        <w:pStyle w:val="Normal"/>
        <w:numPr>
          <w:ilvl w:val="0"/>
          <w:numId w:val="2"/>
        </w:numPr>
        <w:ind w:left="0" w:hanging="360"/>
        <w:jc w:val="both"/>
        <w:rPr>
          <w:sz w:val="22"/>
          <w:szCs w:val="22"/>
        </w:rPr>
      </w:pPr>
      <w:r>
        <w:rPr>
          <w:sz w:val="22"/>
          <w:szCs w:val="22"/>
        </w:rPr>
        <w:t>развитие инфраструктуры поддержки малого предпринимательства;</w:t>
      </w:r>
    </w:p>
    <w:p>
      <w:pPr>
        <w:pStyle w:val="Normal"/>
        <w:numPr>
          <w:ilvl w:val="0"/>
          <w:numId w:val="2"/>
        </w:numPr>
        <w:ind w:left="0" w:hanging="360"/>
        <w:jc w:val="both"/>
        <w:rPr>
          <w:sz w:val="22"/>
          <w:szCs w:val="22"/>
        </w:rPr>
      </w:pPr>
      <w:r>
        <w:rPr>
          <w:sz w:val="22"/>
          <w:szCs w:val="22"/>
        </w:rPr>
        <w:t>научно-аналитическое обеспечение деятельности субъектов малого предпринимательства, развитие внешнеэкономических связей;</w:t>
      </w:r>
    </w:p>
    <w:p>
      <w:pPr>
        <w:pStyle w:val="Normal"/>
        <w:numPr>
          <w:ilvl w:val="0"/>
          <w:numId w:val="2"/>
        </w:numPr>
        <w:ind w:left="0" w:hanging="360"/>
        <w:jc w:val="both"/>
        <w:rPr>
          <w:sz w:val="22"/>
          <w:szCs w:val="22"/>
        </w:rPr>
      </w:pPr>
      <w:r>
        <w:rPr>
          <w:sz w:val="22"/>
          <w:szCs w:val="22"/>
        </w:rPr>
        <w:t>увеличение числа субъектов малого предпринимательства;</w:t>
      </w:r>
    </w:p>
    <w:p>
      <w:pPr>
        <w:pStyle w:val="Normal"/>
        <w:numPr>
          <w:ilvl w:val="0"/>
          <w:numId w:val="2"/>
        </w:numPr>
        <w:ind w:left="0" w:hanging="360"/>
        <w:jc w:val="both"/>
        <w:rPr>
          <w:sz w:val="22"/>
          <w:szCs w:val="22"/>
        </w:rPr>
      </w:pPr>
      <w:r>
        <w:rPr>
          <w:sz w:val="22"/>
          <w:szCs w:val="22"/>
        </w:rPr>
        <w:t>повышение конкурентоспособности, выпускаемой субъектами малого предпринимательства продукции.</w:t>
      </w:r>
    </w:p>
    <w:p>
      <w:pPr>
        <w:pStyle w:val="Normal"/>
        <w:numPr>
          <w:ilvl w:val="0"/>
          <w:numId w:val="2"/>
        </w:numPr>
        <w:ind w:left="0" w:hanging="36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200" w:leader="none"/>
        </w:tabs>
        <w:ind w:left="0" w:hanging="360"/>
        <w:jc w:val="center"/>
        <w:rPr>
          <w:sz w:val="22"/>
          <w:szCs w:val="22"/>
        </w:rPr>
      </w:pPr>
      <w:r>
        <w:rPr>
          <w:sz w:val="22"/>
          <w:szCs w:val="22"/>
        </w:rPr>
        <w:t>СРОКИ РЕАЛИЗАЦИИ ПРОГРАММЫ</w:t>
      </w:r>
    </w:p>
    <w:p>
      <w:pPr>
        <w:pStyle w:val="Normal"/>
        <w:tabs>
          <w:tab w:val="clear" w:pos="709"/>
          <w:tab w:val="left" w:pos="120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Программа рассчитана на один год (2020), в течение которого основные усилия будут направлены на осуществление мероприятий по следующим направлениям: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развитие и совершенствование инфраструктуры поддержки малого предпринимательства;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создание системы информационного обеспечения субъектов малого предпринимательства, научно-аналитическое обеспечение деятельности субъектов малого предпринимательства, развитие внешнеэкономических связей;</w:t>
      </w:r>
    </w:p>
    <w:p>
      <w:pPr>
        <w:pStyle w:val="Normal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обеспечение благоприятных условий для развития субъектов малого предпринимательства;</w:t>
      </w:r>
    </w:p>
    <w:p>
      <w:pPr>
        <w:pStyle w:val="Normal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обеспечение конкурентоспособности субъектов малого предпринимательства.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200" w:leader="none"/>
        </w:tabs>
        <w:ind w:left="0" w:hanging="360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ОЦЕНКА </w:t>
      </w:r>
      <w:r>
        <w:rPr>
          <w:caps/>
          <w:sz w:val="22"/>
          <w:szCs w:val="22"/>
        </w:rPr>
        <w:t>социально-экономических последствий</w:t>
      </w:r>
    </w:p>
    <w:p>
      <w:pPr>
        <w:pStyle w:val="Normal"/>
        <w:jc w:val="center"/>
        <w:rPr>
          <w:caps/>
          <w:sz w:val="22"/>
          <w:szCs w:val="22"/>
        </w:rPr>
      </w:pPr>
      <w:r>
        <w:rPr>
          <w:caps/>
          <w:sz w:val="22"/>
          <w:szCs w:val="22"/>
        </w:rPr>
        <w:t>и совокупного бюджетного эффекта</w:t>
      </w:r>
    </w:p>
    <w:p>
      <w:pPr>
        <w:pStyle w:val="Normal"/>
        <w:jc w:val="center"/>
        <w:rPr>
          <w:sz w:val="22"/>
          <w:szCs w:val="22"/>
        </w:rPr>
      </w:pPr>
      <w:r>
        <w:rPr>
          <w:caps/>
          <w:sz w:val="22"/>
          <w:szCs w:val="22"/>
        </w:rPr>
        <w:t xml:space="preserve">от </w:t>
      </w:r>
      <w:r>
        <w:rPr>
          <w:sz w:val="22"/>
          <w:szCs w:val="22"/>
        </w:rPr>
        <w:t>РЕАЛИЗАЦИИ ПРОГРАММЫ</w:t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В результате осуществления мероприятий Программы ожидается увеличение основных показателей, характеризующих развитие малого предпринимательства в округе: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увеличение количества субъектов малого предпринимательства на 3 процента (что в целом существенно повлияет на рост занятых в сфере малого предпринимательства и скажется на снижении количества безработных);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рост числа работающих в сфере малого предпринимательства на 5 процентов;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увеличение доли малых предприятий в производстве товаров, работ и услуг на 7 процентов;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  <w:tab/>
        <w:t>рост налоговых поступлений от деятельности малого предпринимательства в бюджеты различных уровней на 7 процентов.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09"/>
          <w:tab w:val="left" w:pos="1200" w:leader="none"/>
        </w:tabs>
        <w:ind w:left="0" w:hanging="360"/>
        <w:jc w:val="center"/>
        <w:rPr>
          <w:sz w:val="22"/>
          <w:szCs w:val="22"/>
        </w:rPr>
      </w:pPr>
      <w:r>
        <w:rPr>
          <w:caps/>
          <w:sz w:val="22"/>
          <w:szCs w:val="22"/>
        </w:rPr>
        <w:t>Критерии выполнения программы</w:t>
      </w:r>
    </w:p>
    <w:p>
      <w:pPr>
        <w:pStyle w:val="Normal"/>
        <w:tabs>
          <w:tab w:val="clear" w:pos="709"/>
          <w:tab w:val="left" w:pos="120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Оценка эффективности и социально-экономических последствий реализации Программы опирается на рост основных показателей, характеризующих развитие малого предпринимательства в муниципальном образовании муниципальный округ Сампсониевское. </w:t>
      </w:r>
    </w:p>
    <w:p>
      <w:pPr>
        <w:pStyle w:val="Normal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Результаты реализации Программы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9347" w:type="dxa"/>
        <w:jc w:val="left"/>
        <w:tblInd w:w="-108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40"/>
        <w:gridCol w:w="3640"/>
        <w:gridCol w:w="1316"/>
        <w:gridCol w:w="1078"/>
        <w:gridCol w:w="1083"/>
        <w:gridCol w:w="1689"/>
      </w:tblGrid>
      <w:tr>
        <w:trPr>
          <w:tblHeader w:val="true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6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Показатель</w:t>
            </w:r>
          </w:p>
        </w:tc>
        <w:tc>
          <w:tcPr>
            <w:tcW w:w="1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16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Рост в 2020-году (процентов)</w:t>
            </w:r>
          </w:p>
        </w:tc>
      </w:tr>
      <w:tr>
        <w:trPr>
          <w:tblHeader w:val="true"/>
        </w:trPr>
        <w:tc>
          <w:tcPr>
            <w:tcW w:w="5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364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1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2019год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2020год</w:t>
            </w:r>
          </w:p>
        </w:tc>
        <w:tc>
          <w:tcPr>
            <w:tcW w:w="168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</w:tr>
      <w:tr>
        <w:trPr>
          <w:trHeight w:val="673" w:hRule="atLeast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малых предприятий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121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103,5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Количество предпринимателей без образования юридического лица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66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103,3</w:t>
            </w:r>
          </w:p>
        </w:tc>
      </w:tr>
      <w:tr>
        <w:trPr/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Численность работников на малых предприятиях</w:t>
            </w:r>
          </w:p>
        </w:tc>
        <w:tc>
          <w:tcPr>
            <w:tcW w:w="1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чел.</w:t>
            </w:r>
          </w:p>
        </w:tc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1650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1732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105</w:t>
            </w:r>
          </w:p>
        </w:tc>
      </w:tr>
    </w:tbl>
    <w:p>
      <w:pPr>
        <w:pStyle w:val="Normal"/>
        <w:jc w:val="center"/>
        <w:rPr>
          <w:caps/>
          <w:sz w:val="22"/>
          <w:szCs w:val="22"/>
        </w:rPr>
      </w:pPr>
      <w:r>
        <w:rPr>
          <w:caps/>
          <w:sz w:val="22"/>
          <w:szCs w:val="22"/>
        </w:rPr>
      </w:r>
    </w:p>
    <w:p>
      <w:pPr>
        <w:pStyle w:val="Normal"/>
        <w:jc w:val="center"/>
        <w:rPr>
          <w:caps/>
          <w:sz w:val="22"/>
          <w:szCs w:val="22"/>
        </w:rPr>
      </w:pPr>
      <w:r>
        <w:rPr>
          <w:caps/>
          <w:sz w:val="22"/>
          <w:szCs w:val="22"/>
        </w:rPr>
        <w:t>6. Перечень мероприятий, объемы</w:t>
      </w:r>
    </w:p>
    <w:p>
      <w:pPr>
        <w:pStyle w:val="Normal"/>
        <w:jc w:val="center"/>
        <w:rPr>
          <w:caps/>
          <w:sz w:val="22"/>
          <w:szCs w:val="22"/>
        </w:rPr>
      </w:pPr>
      <w:r>
        <w:rPr>
          <w:caps/>
          <w:sz w:val="22"/>
          <w:szCs w:val="22"/>
        </w:rPr>
        <w:t>и источники финансирования программы</w:t>
      </w:r>
    </w:p>
    <w:p>
      <w:pPr>
        <w:pStyle w:val="Normal"/>
        <w:rPr>
          <w:sz w:val="22"/>
          <w:szCs w:val="22"/>
        </w:rPr>
      </w:pPr>
      <w:r>
        <w:rPr>
          <w:sz w:val="22"/>
          <w:szCs w:val="22"/>
        </w:rPr>
      </w:r>
    </w:p>
    <w:tbl>
      <w:tblPr>
        <w:tblW w:w="10267" w:type="dxa"/>
        <w:jc w:val="left"/>
        <w:tblInd w:w="-426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571"/>
        <w:gridCol w:w="3737"/>
        <w:gridCol w:w="2738"/>
        <w:gridCol w:w="3220"/>
      </w:tblGrid>
      <w:tr>
        <w:trPr/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  <w:r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37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(тысяч рублей)/срок исполнения</w:t>
            </w:r>
          </w:p>
        </w:tc>
        <w:tc>
          <w:tcPr>
            <w:tcW w:w="3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Заказчик, исполнитель</w:t>
            </w:r>
          </w:p>
        </w:tc>
      </w:tr>
      <w:tr>
        <w:trPr/>
        <w:tc>
          <w:tcPr>
            <w:tcW w:w="57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373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2020 год</w:t>
            </w:r>
          </w:p>
        </w:tc>
        <w:tc>
          <w:tcPr>
            <w:tcW w:w="3220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</w:tc>
      </w:tr>
      <w:tr>
        <w:trPr/>
        <w:tc>
          <w:tcPr>
            <w:tcW w:w="102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jc w:val="center"/>
              <w:rPr>
                <w:b/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Совершенствование внешней среды для развития малого предпринимательства</w:t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Правовое регулирование деятельности субъектов малого предпринимательства</w:t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Анализ нормативных правовых актов Санкт-Петербурга с целью разработки предложений по совершенствованию нормативной правовой (в том числе налоговой) базы, регулирующей предпринимательскую деятельность в муниципальном образовании муниципальный округ Сампсониевское 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 финансирования</w:t>
            </w:r>
          </w:p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</w:r>
          </w:p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течение 2020 года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Местная Администрация МО Сампсониевское</w:t>
            </w:r>
          </w:p>
        </w:tc>
      </w:tr>
      <w:tr>
        <w:trPr/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69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Информационная, правовая и консультационная поддержка малого предпринимательства.</w:t>
            </w:r>
          </w:p>
        </w:tc>
      </w:tr>
      <w:tr>
        <w:trPr>
          <w:trHeight w:val="1515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Информационное взаимодействие с государственными органами, уполномоченными оказывать помощь субъектам малого предпринимательства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 финансирования</w:t>
            </w:r>
          </w:p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течение 2020 года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Местная Администрация МО Сампсониевское</w:t>
            </w:r>
          </w:p>
        </w:tc>
      </w:tr>
      <w:tr>
        <w:trPr>
          <w:trHeight w:val="570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Размещение на официальном сайте в сети «Интернет» муниципального образования материалов по вопросу развития малого предпринимательства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 финансирования</w:t>
            </w:r>
          </w:p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 течение 2020 года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Местная Администрация МО Сампсониевское</w:t>
            </w:r>
          </w:p>
        </w:tc>
      </w:tr>
      <w:tr>
        <w:trPr>
          <w:trHeight w:val="570" w:hRule="atLeast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3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Выпуск информационных материалов (буклетов) по правовым вопросам в целях поддержки малых предпринимателей, ведущих деятельность на территории МО Сампсониевское</w:t>
            </w:r>
          </w:p>
        </w:tc>
        <w:tc>
          <w:tcPr>
            <w:tcW w:w="2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 тыс. руб.</w:t>
            </w:r>
          </w:p>
          <w:p>
            <w:pPr>
              <w:pStyle w:val="Normal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течение 2020 года </w:t>
            </w:r>
          </w:p>
        </w:tc>
        <w:tc>
          <w:tcPr>
            <w:tcW w:w="3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Местная Администрация МО Сампсониевское и /или </w:t>
            </w:r>
            <w:r>
              <w:rPr>
                <w:rFonts w:eastAsia="Calibri"/>
                <w:color w:val="000000"/>
                <w:spacing w:val="2"/>
                <w:sz w:val="22"/>
                <w:szCs w:val="22"/>
                <w:lang w:eastAsia="en-US"/>
              </w:rPr>
              <w:t>юридические лица, привлекаемые к исполнению реализации мероприятий программы</w:t>
            </w:r>
            <w:bookmarkStart w:id="7" w:name="_GoBack"/>
            <w:bookmarkEnd w:id="7"/>
          </w:p>
        </w:tc>
      </w:tr>
    </w:tbl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7. МЕХАНИЗМ РЕАЛИЗАЦИИ ПРОГРАММЫ</w:t>
      </w:r>
    </w:p>
    <w:p>
      <w:pPr>
        <w:pStyle w:val="Normal"/>
        <w:tabs>
          <w:tab w:val="clear" w:pos="709"/>
          <w:tab w:val="left" w:pos="0" w:leader="none"/>
        </w:tabs>
        <w:rPr>
          <w:sz w:val="22"/>
          <w:szCs w:val="22"/>
        </w:rPr>
      </w:pPr>
      <w:r>
        <w:rPr>
          <w:sz w:val="22"/>
          <w:szCs w:val="22"/>
        </w:rPr>
        <w:tab/>
        <w:t>Механизм реализации Программы предусматривает использование рычагов экономической, финансовой и бюджетной политики, в том числе:</w:t>
      </w:r>
    </w:p>
    <w:p>
      <w:pPr>
        <w:pStyle w:val="Normal"/>
        <w:tabs>
          <w:tab w:val="left" w:pos="709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>1) привлечение собственных средств участников Программы;</w:t>
      </w:r>
    </w:p>
    <w:p>
      <w:pPr>
        <w:pStyle w:val="Normal"/>
        <w:tabs>
          <w:tab w:val="left" w:pos="709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>2) привлечение средств частных инвесторов;</w:t>
      </w:r>
    </w:p>
    <w:p>
      <w:pPr>
        <w:pStyle w:val="Normal"/>
        <w:tabs>
          <w:tab w:val="left" w:pos="709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>3) привлечение кредитных ресурсов;</w:t>
      </w:r>
    </w:p>
    <w:p>
      <w:pPr>
        <w:pStyle w:val="Normal"/>
        <w:tabs>
          <w:tab w:val="left" w:pos="709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>4) участие иностранных инвесторов;</w:t>
      </w:r>
    </w:p>
    <w:p>
      <w:pPr>
        <w:pStyle w:val="Normal"/>
        <w:tabs>
          <w:tab w:val="left" w:pos="709" w:leader="none"/>
          <w:tab w:val="left" w:pos="1134" w:leader="none"/>
        </w:tabs>
        <w:rPr>
          <w:sz w:val="22"/>
          <w:szCs w:val="22"/>
        </w:rPr>
      </w:pPr>
      <w:r>
        <w:rPr>
          <w:sz w:val="22"/>
          <w:szCs w:val="22"/>
        </w:rPr>
        <w:t>5) оказание различных форм муниципальной поддержки, из них:</w:t>
      </w:r>
    </w:p>
    <w:p>
      <w:pPr>
        <w:pStyle w:val="Normal"/>
        <w:numPr>
          <w:ilvl w:val="0"/>
          <w:numId w:val="3"/>
        </w:numPr>
        <w:tabs>
          <w:tab w:val="left" w:pos="709" w:leader="none"/>
          <w:tab w:val="left" w:pos="1134" w:leader="none"/>
        </w:tabs>
        <w:ind w:left="0" w:hanging="1298"/>
        <w:rPr>
          <w:sz w:val="22"/>
          <w:szCs w:val="22"/>
        </w:rPr>
      </w:pPr>
      <w:r>
        <w:rPr>
          <w:sz w:val="22"/>
          <w:szCs w:val="22"/>
        </w:rPr>
        <w:t>прямое финансирование мероприятий из местного бюджета,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-142" w:leader="none"/>
          <w:tab w:val="left" w:pos="0" w:leader="none"/>
        </w:tabs>
        <w:ind w:left="0" w:firstLine="426"/>
        <w:rPr>
          <w:sz w:val="22"/>
          <w:szCs w:val="22"/>
        </w:rPr>
      </w:pPr>
      <w:r>
        <w:rPr>
          <w:sz w:val="22"/>
          <w:szCs w:val="22"/>
        </w:rPr>
        <w:t xml:space="preserve">привлечение средств бюджета Санкт-Петербурга. </w:t>
      </w:r>
    </w:p>
    <w:p>
      <w:pPr>
        <w:pStyle w:val="Normal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sz w:val="22"/>
          <w:szCs w:val="22"/>
        </w:rPr>
        <w:t>8. ОЦЕНКА ЭФФЕКТИВНОСТИ ПРОГРАММЫ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>Прогнозируемые конечные результаты реализации Программы предусматривают</w:t>
      </w:r>
      <w:r>
        <w:rPr>
          <w:rStyle w:val="Appleconvertedspace"/>
          <w:color w:val="000000"/>
          <w:sz w:val="22"/>
          <w:szCs w:val="22"/>
        </w:rPr>
        <w:t> </w:t>
      </w:r>
      <w:r>
        <w:rPr>
          <w:color w:val="2A2828"/>
          <w:sz w:val="22"/>
          <w:szCs w:val="22"/>
        </w:rPr>
        <w:t>следующие приоритеты: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1)</w:t>
      </w:r>
      <w:r>
        <w:rPr>
          <w:rStyle w:val="Appleconvertedspace"/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развитие субъектов малого и среднего предпринимательства в целях формирования конкурентной среды в экономике Российской Федерации;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2) обеспечение благоприятных условий для развития субъектов малого и среднего предпринимательства;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3) обеспечение конкурентоспособности субъектов малого и среднего предпринимательства;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4) оказание содействия субъектам малого и среднего предпринимательства в продвижении производимых ими товаров (работ, услуг), результатов интеллектуальной деятельности на рынок Российской Федерации и рынки иностранных государств;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5) увеличение количества субъектов малого и среднего предпринимательства;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6) обеспечение занятости населения и развитие самозанятости;</w:t>
      </w:r>
    </w:p>
    <w:p>
      <w:pPr>
        <w:pStyle w:val="NormalWeb"/>
        <w:shd w:val="clear" w:color="auto" w:fill="FFFFFF"/>
        <w:spacing w:beforeAutospacing="0" w:before="0" w:afterAutospacing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7) увеличение доли производимых субъектами малого и среднего предпринимательства товаров (работ, услуг) в объеме валового внутреннего продукта;</w:t>
      </w:r>
    </w:p>
    <w:p>
      <w:pPr>
        <w:pStyle w:val="NormalWeb"/>
        <w:shd w:val="clear" w:color="auto" w:fill="FFFFFF"/>
        <w:tabs>
          <w:tab w:val="clear" w:pos="709"/>
          <w:tab w:val="left" w:pos="1560" w:leader="none"/>
        </w:tabs>
        <w:spacing w:beforeAutospacing="0" w:before="0" w:afterAutospacing="0" w:after="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8) увеличение доли уплаченных субъектами малого и среднего предпринимательства налогов в налоговых доходах федерального бюджета, бюджетов субъектов Российской Федерации и местных бюджетов.</w:t>
      </w:r>
    </w:p>
    <w:p>
      <w:pPr>
        <w:pStyle w:val="Normal"/>
        <w:rPr>
          <w:sz w:val="24"/>
          <w:szCs w:val="24"/>
        </w:rPr>
      </w:pPr>
      <w:r>
        <w:rPr/>
      </w:r>
    </w:p>
    <w:sectPr>
      <w:type w:val="nextPage"/>
      <w:pgSz w:w="11906" w:h="16838"/>
      <w:pgMar w:left="1701" w:right="850" w:header="0" w:top="960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Shruti">
    <w:charset w:val="01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hruti" w:hAnsi="Shruti" w:cs="Shruti" w:hint="default"/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hruti" w:hAnsi="Shruti" w:cs="Shruti" w:hint="default"/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convertedspace" w:customStyle="1">
    <w:name w:val="apple-converted-space"/>
    <w:qFormat/>
    <w:rPr/>
  </w:style>
  <w:style w:type="character" w:styleId="Style14" w:customStyle="1">
    <w:name w:val="Текст выноски Знак"/>
    <w:basedOn w:val="DefaultParagraphFont"/>
    <w:link w:val="a4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Style15">
    <w:name w:val="Основной шрифт абзаца"/>
    <w:qFormat/>
    <w:rPr/>
  </w:style>
  <w:style w:type="character" w:styleId="WW8Num3z8">
    <w:name w:val="WW8Num3z8"/>
    <w:qFormat/>
    <w:rPr/>
  </w:style>
  <w:style w:type="character" w:styleId="WW8Num3z7">
    <w:name w:val="WW8Num3z7"/>
    <w:qFormat/>
    <w:rPr/>
  </w:style>
  <w:style w:type="character" w:styleId="WW8Num3z6">
    <w:name w:val="WW8Num3z6"/>
    <w:qFormat/>
    <w:rPr/>
  </w:style>
  <w:style w:type="character" w:styleId="WW8Num3z5">
    <w:name w:val="WW8Num3z5"/>
    <w:qFormat/>
    <w:rPr/>
  </w:style>
  <w:style w:type="character" w:styleId="WW8Num3z4">
    <w:name w:val="WW8Num3z4"/>
    <w:qFormat/>
    <w:rPr/>
  </w:style>
  <w:style w:type="character" w:styleId="WW8Num3z3">
    <w:name w:val="WW8Num3z3"/>
    <w:qFormat/>
    <w:rPr/>
  </w:style>
  <w:style w:type="character" w:styleId="WW8Num3z2">
    <w:name w:val="WW8Num3z2"/>
    <w:qFormat/>
    <w:rPr/>
  </w:style>
  <w:style w:type="character" w:styleId="WW8Num3z1">
    <w:name w:val="WW8Num3z1"/>
    <w:qFormat/>
    <w:rPr/>
  </w:style>
  <w:style w:type="character" w:styleId="WW8Num3z0">
    <w:name w:val="WW8Num3z0"/>
    <w:qFormat/>
    <w:rPr>
      <w:sz w:val="22"/>
    </w:rPr>
  </w:style>
  <w:style w:type="character" w:styleId="WW8Num2z8">
    <w:name w:val="WW8Num2z8"/>
    <w:qFormat/>
    <w:rPr/>
  </w:style>
  <w:style w:type="character" w:styleId="WW8Num2z7">
    <w:name w:val="WW8Num2z7"/>
    <w:qFormat/>
    <w:rPr/>
  </w:style>
  <w:style w:type="character" w:styleId="WW8Num2z6">
    <w:name w:val="WW8Num2z6"/>
    <w:qFormat/>
    <w:rPr/>
  </w:style>
  <w:style w:type="character" w:styleId="WW8Num2z5">
    <w:name w:val="WW8Num2z5"/>
    <w:qFormat/>
    <w:rPr/>
  </w:style>
  <w:style w:type="character" w:styleId="WW8Num2z4">
    <w:name w:val="WW8Num2z4"/>
    <w:qFormat/>
    <w:rPr/>
  </w:style>
  <w:style w:type="character" w:styleId="WW8Num2z3">
    <w:name w:val="WW8Num2z3"/>
    <w:qFormat/>
    <w:rPr/>
  </w:style>
  <w:style w:type="character" w:styleId="WW8Num2z2">
    <w:name w:val="WW8Num2z2"/>
    <w:qFormat/>
    <w:rPr/>
  </w:style>
  <w:style w:type="character" w:styleId="WW8Num2z1">
    <w:name w:val="WW8Num2z1"/>
    <w:qFormat/>
    <w:rPr/>
  </w:style>
  <w:style w:type="character" w:styleId="WW8Num2z0">
    <w:name w:val="WW8Num2z0"/>
    <w:qFormat/>
    <w:rPr>
      <w:sz w:val="22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Lucida Sans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Lucida Sans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sz w:val="24"/>
      <w:szCs w:val="24"/>
    </w:rPr>
  </w:style>
  <w:style w:type="paragraph" w:styleId="BalloonText">
    <w:name w:val="Balloon Text"/>
    <w:basedOn w:val="Normal"/>
    <w:link w:val="a5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Style21">
    <w:name w:val="Текст выноски"/>
    <w:basedOn w:val="Normal"/>
    <w:qFormat/>
    <w:pPr/>
    <w:rPr>
      <w:rFonts w:ascii="Tahoma" w:hAnsi="Tahoma" w:eastAsia="Tahoma"/>
      <w:sz w:val="16"/>
      <w:szCs w:val="16"/>
      <w:lang w:eastAsia="ar-SA"/>
    </w:rPr>
  </w:style>
  <w:style w:type="paragraph" w:styleId="Style22">
    <w:name w:val="Обычный (веб)"/>
    <w:basedOn w:val="Normal"/>
    <w:qFormat/>
    <w:pPr>
      <w:spacing w:before="280" w:after="280"/>
    </w:pPr>
    <w:rPr/>
  </w:style>
  <w:style w:type="paragraph" w:styleId="Style23">
    <w:name w:val="Содержимое таблицы"/>
    <w:basedOn w:val="Normal"/>
    <w:qFormat/>
    <w:pPr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Application>LibreOffice/6.4.0.3$Windows_x86 LibreOffice_project/b0a288ab3d2d4774cb44b62f04d5d28733ac6df8</Application>
  <Pages>4</Pages>
  <Words>1194</Words>
  <Characters>9681</Characters>
  <CharactersWithSpaces>10874</CharactersWithSpaces>
  <Paragraphs>158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dc:description/>
  <dc:language>ru-RU</dc:language>
  <cp:lastModifiedBy/>
  <cp:lastPrinted>2020-08-11T16:47:13Z</cp:lastPrinted>
  <dcterms:modified xsi:type="dcterms:W3CDTF">2020-08-11T16:49:31Z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